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lastRenderedPageBreak/>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C874CE" w:rsidRDefault="0053187D" w:rsidP="00C874CE">
            <w:pPr>
              <w:jc w:val="both"/>
              <w:rPr>
                <w:rFonts w:ascii="Times New Roman" w:hAnsi="Times New Roman"/>
                <w:b/>
                <w:bCs/>
                <w:sz w:val="24"/>
                <w:szCs w:val="24"/>
                <w:lang w:val="fr-FR"/>
              </w:rPr>
            </w:pPr>
            <w:r>
              <w:rPr>
                <w:rFonts w:ascii="Times New Roman" w:hAnsi="Times New Roman"/>
                <w:b/>
                <w:bCs/>
                <w:sz w:val="24"/>
                <w:szCs w:val="24"/>
                <w:lang w:val="fr-FR"/>
              </w:rPr>
              <w:t>Grafică şi design, e</w:t>
            </w:r>
            <w:r w:rsidRPr="00606E55">
              <w:rPr>
                <w:rFonts w:ascii="Times New Roman" w:hAnsi="Times New Roman"/>
                <w:b/>
                <w:bCs/>
                <w:sz w:val="24"/>
                <w:szCs w:val="24"/>
                <w:lang w:val="fr-FR"/>
              </w:rPr>
              <w:t xml:space="preserve">ditare şi tipărire </w:t>
            </w:r>
            <w:r>
              <w:rPr>
                <w:rFonts w:ascii="Times New Roman" w:hAnsi="Times New Roman"/>
                <w:b/>
                <w:bCs/>
                <w:sz w:val="24"/>
                <w:szCs w:val="24"/>
                <w:lang w:val="fr-FR"/>
              </w:rPr>
              <w:t>broşuri</w:t>
            </w:r>
          </w:p>
          <w:p w:rsidR="0053187D" w:rsidRPr="003528FC" w:rsidRDefault="0053187D" w:rsidP="0053187D">
            <w:pPr>
              <w:ind w:firstLine="284"/>
              <w:jc w:val="both"/>
              <w:rPr>
                <w:rFonts w:ascii="Times New Roman" w:hAnsi="Times New Roman"/>
                <w:sz w:val="24"/>
                <w:szCs w:val="24"/>
                <w:lang w:val="ro-RO" w:eastAsia="ro-RO"/>
              </w:rPr>
            </w:pPr>
            <w:r w:rsidRPr="003528FC">
              <w:rPr>
                <w:rFonts w:ascii="Times New Roman" w:hAnsi="Times New Roman"/>
                <w:sz w:val="24"/>
                <w:szCs w:val="24"/>
                <w:lang w:val="ro-RO" w:eastAsia="ro-RO"/>
              </w:rPr>
              <w:t xml:space="preserve">- </w:t>
            </w:r>
            <w:r>
              <w:rPr>
                <w:rFonts w:ascii="Times New Roman" w:hAnsi="Times New Roman"/>
                <w:sz w:val="24"/>
                <w:szCs w:val="24"/>
                <w:lang w:val="ro-RO" w:eastAsia="ro-RO"/>
              </w:rPr>
              <w:t>100</w:t>
            </w:r>
            <w:r w:rsidRPr="003528FC">
              <w:rPr>
                <w:rFonts w:ascii="Times New Roman" w:hAnsi="Times New Roman"/>
                <w:sz w:val="24"/>
                <w:szCs w:val="24"/>
                <w:lang w:val="ro-RO" w:eastAsia="ro-RO"/>
              </w:rPr>
              <w:t xml:space="preserve"> </w:t>
            </w:r>
            <w:r>
              <w:rPr>
                <w:rFonts w:ascii="Times New Roman" w:hAnsi="Times New Roman"/>
                <w:sz w:val="24"/>
                <w:szCs w:val="24"/>
                <w:lang w:val="ro-RO" w:eastAsia="ro-RO"/>
              </w:rPr>
              <w:t xml:space="preserve">bucăți </w:t>
            </w:r>
            <w:r w:rsidRPr="003528FC">
              <w:rPr>
                <w:rFonts w:ascii="Times New Roman" w:hAnsi="Times New Roman"/>
                <w:sz w:val="24"/>
                <w:szCs w:val="24"/>
                <w:lang w:val="ro-RO" w:eastAsia="ro-RO"/>
              </w:rPr>
              <w:t>de broşuri;</w:t>
            </w:r>
          </w:p>
          <w:p w:rsidR="0053187D" w:rsidRPr="00606E55" w:rsidRDefault="0053187D" w:rsidP="0053187D">
            <w:pPr>
              <w:ind w:firstLine="284"/>
              <w:jc w:val="both"/>
              <w:rPr>
                <w:rFonts w:ascii="Times New Roman" w:hAnsi="Times New Roman"/>
                <w:sz w:val="24"/>
                <w:szCs w:val="24"/>
                <w:lang w:val="fr-FR"/>
              </w:rPr>
            </w:pPr>
            <w:r w:rsidRPr="003528FC">
              <w:rPr>
                <w:rFonts w:ascii="Times New Roman" w:hAnsi="Times New Roman"/>
                <w:sz w:val="24"/>
                <w:szCs w:val="24"/>
                <w:lang w:val="ro-RO" w:eastAsia="ro-RO"/>
              </w:rPr>
              <w:t xml:space="preserve">- </w:t>
            </w:r>
            <w:r w:rsidRPr="00606E55">
              <w:rPr>
                <w:rFonts w:ascii="Times New Roman" w:hAnsi="Times New Roman"/>
                <w:sz w:val="24"/>
                <w:szCs w:val="24"/>
                <w:lang w:val="fr-FR"/>
              </w:rPr>
              <w:t>Format: A4</w:t>
            </w:r>
            <w:r>
              <w:rPr>
                <w:rFonts w:ascii="Times New Roman" w:hAnsi="Times New Roman"/>
                <w:sz w:val="24"/>
                <w:szCs w:val="24"/>
                <w:lang w:val="fr-FR"/>
              </w:rPr>
              <w:t>, format închis</w:t>
            </w:r>
            <w:r w:rsidRPr="00606E55">
              <w:rPr>
                <w:rFonts w:ascii="Times New Roman" w:hAnsi="Times New Roman"/>
                <w:sz w:val="24"/>
                <w:szCs w:val="24"/>
                <w:lang w:val="fr-FR"/>
              </w:rPr>
              <w:t>;</w:t>
            </w:r>
          </w:p>
          <w:p w:rsidR="0053187D" w:rsidRPr="00606E55" w:rsidRDefault="0053187D" w:rsidP="0053187D">
            <w:pPr>
              <w:ind w:firstLine="284"/>
              <w:jc w:val="both"/>
              <w:rPr>
                <w:rFonts w:ascii="Times New Roman" w:hAnsi="Times New Roman"/>
                <w:sz w:val="24"/>
                <w:szCs w:val="24"/>
                <w:lang w:val="fr-FR"/>
              </w:rPr>
            </w:pPr>
            <w:r w:rsidRPr="00606E55">
              <w:rPr>
                <w:rFonts w:ascii="Times New Roman" w:hAnsi="Times New Roman"/>
                <w:sz w:val="24"/>
                <w:szCs w:val="24"/>
                <w:lang w:val="fr-FR"/>
              </w:rPr>
              <w:t>- Nr. pagini: între 50-100</w:t>
            </w:r>
            <w:r>
              <w:rPr>
                <w:rFonts w:ascii="Times New Roman" w:hAnsi="Times New Roman"/>
                <w:sz w:val="24"/>
                <w:szCs w:val="24"/>
                <w:lang w:val="fr-FR"/>
              </w:rPr>
              <w:t xml:space="preserve"> interior</w:t>
            </w:r>
            <w:r w:rsidRPr="00606E55">
              <w:rPr>
                <w:rFonts w:ascii="Times New Roman" w:hAnsi="Times New Roman"/>
                <w:sz w:val="24"/>
                <w:szCs w:val="24"/>
                <w:lang w:val="fr-FR"/>
              </w:rPr>
              <w:t>;</w:t>
            </w:r>
          </w:p>
          <w:p w:rsidR="0053187D" w:rsidRPr="003528FC" w:rsidRDefault="0053187D" w:rsidP="0053187D">
            <w:pPr>
              <w:ind w:firstLine="284"/>
              <w:jc w:val="both"/>
              <w:rPr>
                <w:rFonts w:ascii="Times New Roman" w:hAnsi="Times New Roman"/>
                <w:sz w:val="24"/>
                <w:szCs w:val="24"/>
              </w:rPr>
            </w:pPr>
            <w:r w:rsidRPr="003528FC">
              <w:rPr>
                <w:rFonts w:ascii="Times New Roman" w:hAnsi="Times New Roman"/>
                <w:sz w:val="24"/>
                <w:szCs w:val="24"/>
              </w:rPr>
              <w:t>- Imprimare coperţi şi interior color;</w:t>
            </w:r>
          </w:p>
          <w:p w:rsidR="0053187D" w:rsidRPr="003528FC" w:rsidRDefault="0053187D" w:rsidP="0053187D">
            <w:pPr>
              <w:ind w:firstLine="284"/>
              <w:jc w:val="both"/>
              <w:rPr>
                <w:rFonts w:ascii="Times New Roman" w:hAnsi="Times New Roman"/>
                <w:sz w:val="24"/>
                <w:szCs w:val="24"/>
              </w:rPr>
            </w:pPr>
            <w:r w:rsidRPr="003528FC">
              <w:rPr>
                <w:rFonts w:ascii="Times New Roman" w:hAnsi="Times New Roman"/>
                <w:sz w:val="24"/>
                <w:szCs w:val="24"/>
              </w:rPr>
              <w:t>- Tipar: 4+4 full Color - ambele fețe;</w:t>
            </w:r>
          </w:p>
          <w:p w:rsidR="0053187D" w:rsidRPr="003528FC" w:rsidRDefault="0053187D" w:rsidP="0053187D">
            <w:pPr>
              <w:ind w:firstLine="284"/>
              <w:jc w:val="both"/>
              <w:rPr>
                <w:rFonts w:ascii="Times New Roman" w:hAnsi="Times New Roman"/>
                <w:sz w:val="24"/>
                <w:szCs w:val="24"/>
              </w:rPr>
            </w:pPr>
            <w:r w:rsidRPr="003528FC">
              <w:rPr>
                <w:rFonts w:ascii="Times New Roman" w:hAnsi="Times New Roman"/>
                <w:sz w:val="24"/>
                <w:szCs w:val="24"/>
              </w:rPr>
              <w:t xml:space="preserve">- Tip hârtie: </w:t>
            </w:r>
            <w:r>
              <w:rPr>
                <w:rFonts w:ascii="Times New Roman" w:hAnsi="Times New Roman"/>
                <w:sz w:val="24"/>
                <w:szCs w:val="24"/>
              </w:rPr>
              <w:t xml:space="preserve">hârtie </w:t>
            </w:r>
            <w:r w:rsidRPr="008E1DC4">
              <w:rPr>
                <w:rFonts w:ascii="Times New Roman" w:hAnsi="Times New Roman"/>
                <w:sz w:val="24"/>
                <w:szCs w:val="24"/>
              </w:rPr>
              <w:t xml:space="preserve">lucioasă; </w:t>
            </w:r>
            <w:r w:rsidRPr="008E1DC4">
              <w:rPr>
                <w:rFonts w:ascii="Times New Roman" w:hAnsi="Times New Roman"/>
                <w:sz w:val="24"/>
                <w:szCs w:val="24"/>
                <w:lang w:val="ro-RO"/>
              </w:rPr>
              <w:t>interior hartie 80 g, coperti carton lucios 200 g</w:t>
            </w:r>
          </w:p>
          <w:p w:rsidR="0053187D" w:rsidRPr="002A0D4E" w:rsidRDefault="0053187D" w:rsidP="0053187D">
            <w:pPr>
              <w:ind w:firstLine="284"/>
              <w:jc w:val="both"/>
              <w:rPr>
                <w:iCs/>
                <w:kern w:val="1"/>
                <w:sz w:val="24"/>
                <w:szCs w:val="24"/>
              </w:rPr>
            </w:pPr>
          </w:p>
        </w:tc>
        <w:tc>
          <w:tcPr>
            <w:tcW w:w="4047" w:type="dxa"/>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Pr>
                <w:rFonts w:ascii="Times New Roman" w:hAnsi="Times New Roman"/>
                <w:sz w:val="24"/>
                <w:szCs w:val="24"/>
              </w:rPr>
              <w:t>produselor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C874CE">
        <w:rPr>
          <w:rFonts w:ascii="Arial Narrow" w:hAnsi="Arial Narrow"/>
          <w:sz w:val="24"/>
          <w:szCs w:val="24"/>
        </w:rPr>
        <w:t>Roll-up și plăcuțe metalice informative</w:t>
      </w:r>
      <w:r w:rsidR="005D2FB9">
        <w:rPr>
          <w:rFonts w:ascii="Arial Narrow" w:hAnsi="Arial Narrow"/>
          <w:sz w:val="24"/>
          <w:szCs w:val="24"/>
        </w:rPr>
        <w:t xml:space="preserve"> </w:t>
      </w:r>
      <w:r w:rsidR="005D2FB9">
        <w:rPr>
          <w:rFonts w:ascii="Arial Narrow" w:hAnsi="Arial Narrow"/>
          <w:sz w:val="24"/>
          <w:szCs w:val="24"/>
          <w:lang w:val="ro-RO"/>
        </w:rPr>
        <w:t>în cadrul proiectului ”PROACTIVE HEALTH WITHOUT BORDERS” – 2SOFT/4.1/104</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53187D" w:rsidRDefault="0053187D" w:rsidP="00C874CE">
            <w:pPr>
              <w:jc w:val="both"/>
              <w:rPr>
                <w:rFonts w:ascii="Times New Roman" w:hAnsi="Times New Roman"/>
                <w:b/>
                <w:bCs/>
                <w:sz w:val="24"/>
                <w:szCs w:val="24"/>
                <w:lang w:val="fr-FR"/>
              </w:rPr>
            </w:pPr>
            <w:r>
              <w:rPr>
                <w:rFonts w:ascii="Times New Roman" w:hAnsi="Times New Roman"/>
                <w:b/>
                <w:bCs/>
                <w:sz w:val="24"/>
                <w:szCs w:val="24"/>
                <w:lang w:val="fr-FR"/>
              </w:rPr>
              <w:t>Grafică şi design, e</w:t>
            </w:r>
            <w:r w:rsidRPr="00606E55">
              <w:rPr>
                <w:rFonts w:ascii="Times New Roman" w:hAnsi="Times New Roman"/>
                <w:b/>
                <w:bCs/>
                <w:sz w:val="24"/>
                <w:szCs w:val="24"/>
                <w:lang w:val="fr-FR"/>
              </w:rPr>
              <w:t xml:space="preserve">ditare şi tipărire </w:t>
            </w:r>
            <w:r>
              <w:rPr>
                <w:rFonts w:ascii="Times New Roman" w:hAnsi="Times New Roman"/>
                <w:b/>
                <w:bCs/>
                <w:sz w:val="24"/>
                <w:szCs w:val="24"/>
                <w:lang w:val="fr-FR"/>
              </w:rPr>
              <w:t>broşuri</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53187D" w:rsidP="00C874CE">
            <w:pPr>
              <w:jc w:val="center"/>
              <w:rPr>
                <w:rFonts w:ascii="Times New Roman" w:hAnsi="Times New Roman"/>
                <w:color w:val="000000"/>
                <w:sz w:val="24"/>
                <w:szCs w:val="24"/>
              </w:rPr>
            </w:pPr>
            <w:r>
              <w:rPr>
                <w:rFonts w:ascii="Times New Roman" w:hAnsi="Times New Roman"/>
                <w:color w:val="000000"/>
                <w:sz w:val="24"/>
                <w:szCs w:val="24"/>
              </w:rPr>
              <w:t>1</w:t>
            </w:r>
          </w:p>
        </w:tc>
        <w:tc>
          <w:tcPr>
            <w:tcW w:w="1216" w:type="dxa"/>
            <w:vAlign w:val="center"/>
          </w:tcPr>
          <w:p w:rsidR="00C874CE" w:rsidRPr="00B61B1B" w:rsidRDefault="0053187D" w:rsidP="00C874CE">
            <w:pPr>
              <w:jc w:val="center"/>
              <w:rPr>
                <w:rFonts w:ascii="Times New Roman" w:hAnsi="Times New Roman"/>
                <w:sz w:val="24"/>
                <w:szCs w:val="24"/>
              </w:rPr>
            </w:pPr>
            <w:r>
              <w:rPr>
                <w:rFonts w:ascii="Times New Roman" w:hAnsi="Times New Roman"/>
                <w:sz w:val="24"/>
                <w:szCs w:val="24"/>
              </w:rPr>
              <w:t>11118.00</w:t>
            </w: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bookmarkStart w:id="0" w:name="_GoBack"/>
    </w:p>
    <w:bookmarkEnd w:id="0"/>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9C" w:rsidRDefault="00E8689C">
      <w:r>
        <w:separator/>
      </w:r>
    </w:p>
  </w:endnote>
  <w:endnote w:type="continuationSeparator" w:id="0">
    <w:p w:rsidR="00E8689C" w:rsidRDefault="00E8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9C" w:rsidRDefault="00E8689C">
      <w:r>
        <w:separator/>
      </w:r>
    </w:p>
  </w:footnote>
  <w:footnote w:type="continuationSeparator" w:id="0">
    <w:p w:rsidR="00E8689C" w:rsidRDefault="00E86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187D"/>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8689C"/>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607D-6008-45AA-BA2B-DBC6C1CD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146</cp:revision>
  <cp:lastPrinted>2021-02-12T07:05:00Z</cp:lastPrinted>
  <dcterms:created xsi:type="dcterms:W3CDTF">2018-03-12T13:25:00Z</dcterms:created>
  <dcterms:modified xsi:type="dcterms:W3CDTF">2021-02-12T07:06:00Z</dcterms:modified>
</cp:coreProperties>
</file>